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简体" w:hAnsi="方正小标宋简体" w:eastAsia="方正小标宋简体"/>
          <w:color w:val="000000"/>
          <w:sz w:val="36"/>
          <w:szCs w:val="36"/>
        </w:rPr>
      </w:pPr>
      <w:r>
        <w:rPr>
          <w:rFonts w:ascii="方正小标宋简体" w:hAnsi="方正小标宋简体" w:eastAsia="方正小标宋简体"/>
          <w:color w:val="000000"/>
          <w:sz w:val="36"/>
          <w:szCs w:val="36"/>
        </w:rPr>
        <w:t>浙江师范大学第十</w:t>
      </w:r>
      <w:r>
        <w:rPr>
          <w:rFonts w:hint="eastAsia" w:ascii="方正小标宋简体" w:hAnsi="方正小标宋简体" w:eastAsia="方正小标宋简体"/>
          <w:color w:val="000000"/>
          <w:sz w:val="36"/>
          <w:szCs w:val="36"/>
          <w:lang w:val="en-US" w:eastAsia="zh-CN"/>
        </w:rPr>
        <w:t>三</w:t>
      </w:r>
      <w:r>
        <w:rPr>
          <w:rFonts w:ascii="方正小标宋简体" w:hAnsi="方正小标宋简体" w:eastAsia="方正小标宋简体"/>
          <w:color w:val="000000"/>
          <w:sz w:val="36"/>
          <w:szCs w:val="36"/>
        </w:rPr>
        <w:t>期学生党建课题</w:t>
      </w:r>
      <w:r>
        <w:rPr>
          <w:rFonts w:hint="eastAsia" w:ascii="方正小标宋简体" w:hAnsi="方正小标宋简体" w:eastAsia="方正小标宋简体"/>
          <w:color w:val="000000"/>
          <w:sz w:val="36"/>
          <w:szCs w:val="36"/>
        </w:rPr>
        <w:t>立项名单</w:t>
      </w:r>
    </w:p>
    <w:tbl>
      <w:tblPr>
        <w:tblStyle w:val="3"/>
        <w:tblW w:w="50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60" w:type="dxa"/>
          <w:bottom w:w="120" w:type="dxa"/>
          <w:right w:w="60" w:type="dxa"/>
        </w:tblCellMar>
      </w:tblPr>
      <w:tblGrid>
        <w:gridCol w:w="1003"/>
        <w:gridCol w:w="1376"/>
        <w:gridCol w:w="6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黑体" w:hAnsi="黑体" w:eastAsia="黑体" w:cs="Times New Roman"/>
                <w:b/>
                <w:bCs/>
                <w:color w:val="000000"/>
                <w:kern w:val="0"/>
                <w:sz w:val="24"/>
                <w:szCs w:val="24"/>
              </w:rPr>
            </w:pPr>
            <w:r>
              <w:rPr>
                <w:rFonts w:ascii="黑体" w:hAnsi="黑体" w:eastAsia="黑体" w:cs="Times New Roman"/>
                <w:b/>
                <w:bCs/>
                <w:color w:val="000000"/>
                <w:kern w:val="0"/>
                <w:sz w:val="24"/>
                <w:szCs w:val="24"/>
              </w:rPr>
              <w:t>序号</w:t>
            </w: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黑体" w:hAnsi="黑体" w:eastAsia="黑体" w:cs="Times New Roman"/>
                <w:b/>
                <w:bCs/>
                <w:color w:val="000000"/>
                <w:kern w:val="0"/>
                <w:sz w:val="24"/>
                <w:szCs w:val="24"/>
              </w:rPr>
            </w:pPr>
            <w:r>
              <w:rPr>
                <w:rFonts w:ascii="黑体" w:hAnsi="黑体" w:eastAsia="黑体" w:cs="Times New Roman"/>
                <w:b/>
                <w:bCs/>
                <w:color w:val="000000"/>
                <w:kern w:val="0"/>
                <w:sz w:val="24"/>
                <w:szCs w:val="24"/>
              </w:rPr>
              <w:t>负责人</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黑体" w:hAnsi="黑体" w:eastAsia="黑体" w:cs="Times New Roman"/>
                <w:b/>
                <w:bCs/>
                <w:color w:val="000000"/>
                <w:kern w:val="0"/>
                <w:sz w:val="24"/>
                <w:szCs w:val="24"/>
              </w:rPr>
            </w:pPr>
            <w:r>
              <w:rPr>
                <w:rFonts w:ascii="黑体" w:hAnsi="黑体" w:eastAsia="黑体" w:cs="Times New Roman"/>
                <w:b/>
                <w:bCs/>
                <w:color w:val="000000"/>
                <w:kern w:val="0"/>
                <w:sz w:val="24"/>
                <w:szCs w:val="24"/>
              </w:rPr>
              <w:t>课题名称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b/>
                <w:bCs/>
                <w:color w:val="000000"/>
                <w:kern w:val="0"/>
                <w:sz w:val="24"/>
                <w:szCs w:val="24"/>
              </w:rPr>
            </w:pPr>
            <w:r>
              <w:rPr>
                <w:rFonts w:hint="eastAsia" w:ascii="宋体" w:hAnsi="宋体" w:eastAsia="宋体" w:cs="宋体"/>
                <w:color w:val="000000"/>
                <w:kern w:val="0"/>
                <w:sz w:val="24"/>
                <w:szCs w:val="24"/>
                <w:lang w:val="en-US" w:eastAsia="zh-CN"/>
              </w:rPr>
              <w:t>谭进敬</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ascii="黑体" w:hAnsi="黑体" w:eastAsia="黑体" w:cs="Times New Roman"/>
                <w:b/>
                <w:bCs/>
                <w:color w:val="000000"/>
                <w:kern w:val="0"/>
                <w:sz w:val="24"/>
                <w:szCs w:val="24"/>
              </w:rPr>
            </w:pPr>
            <w:r>
              <w:rPr>
                <w:rFonts w:hint="eastAsia" w:ascii="宋体" w:hAnsi="宋体" w:eastAsia="宋体" w:cs="Times New Roman"/>
                <w:color w:val="000000"/>
                <w:kern w:val="0"/>
                <w:sz w:val="24"/>
                <w:szCs w:val="24"/>
              </w:rPr>
              <w:t>红色研学旅行融入大学生党史学习教育的独特价值与创新路径探析——以浙江师范大学为例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王孟霞</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乡村振兴背景下校村支部共建智慧党建服务平台的研制与实践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color w:val="000000"/>
                <w:kern w:val="0"/>
                <w:sz w:val="24"/>
                <w:szCs w:val="24"/>
              </w:rPr>
              <w:t>宋思雨</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黑体" w:hAnsi="黑体" w:eastAsia="黑体" w:cs="Times New Roman"/>
                <w:b/>
                <w:bCs/>
                <w:color w:val="000000"/>
                <w:kern w:val="0"/>
                <w:sz w:val="24"/>
                <w:szCs w:val="24"/>
                <w:lang w:val="en-US" w:eastAsia="zh-CN" w:bidi="ar-SA"/>
              </w:rPr>
            </w:pPr>
            <w:r>
              <w:rPr>
                <w:rFonts w:hint="eastAsia" w:ascii="宋体" w:hAnsi="宋体" w:eastAsia="宋体" w:cs="Times New Roman"/>
                <w:color w:val="000000"/>
                <w:kern w:val="0"/>
                <w:sz w:val="24"/>
                <w:szCs w:val="24"/>
              </w:rPr>
              <w:t>激活“红色引擎”，解码党建引领共富的组织基础与实现路径——以丽水莲都党建联盟为例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林于婻</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全面依法治国视阈下学生党员法治教育现状及对策研究——以浙江师范大学为例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陈佳伊</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党建社会工作嵌入新时代社区治理的路径研究——以兰溪市金钟岭社区为例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王晓宇</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党建引领下城市社区民生服务的创新性模式研究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龚剑虹</w:t>
            </w:r>
          </w:p>
        </w:tc>
        <w:tc>
          <w:tcPr>
            <w:tcW w:w="3595" w:type="pct"/>
            <w:tcBorders>
              <w:top w:val="single" w:color="000000" w:sz="8" w:space="0"/>
              <w:left w:val="single" w:color="000000" w:sz="8" w:space="0"/>
              <w:bottom w:val="single" w:color="000000" w:sz="8" w:space="0"/>
              <w:right w:val="single" w:color="000000" w:sz="8" w:space="0"/>
            </w:tcBorders>
            <w:vAlign w:val="center"/>
          </w:tcPr>
          <w:p>
            <w:pPr>
              <w:rPr>
                <w:rFonts w:hint="eastAsia" w:ascii="黑体" w:hAnsi="黑体" w:eastAsia="黑体" w:cs="Times New Roman"/>
                <w:b/>
                <w:bCs/>
                <w:color w:val="000000"/>
                <w:kern w:val="0"/>
                <w:sz w:val="24"/>
                <w:szCs w:val="24"/>
                <w:lang w:val="en-US" w:eastAsia="zh-CN" w:bidi="ar-SA"/>
              </w:rPr>
            </w:pPr>
            <w:r>
              <w:rPr>
                <w:rFonts w:hint="eastAsia" w:ascii="宋体" w:hAnsi="宋体" w:eastAsia="宋体" w:cs="Times New Roman"/>
                <w:color w:val="000000"/>
                <w:kern w:val="0"/>
                <w:sz w:val="24"/>
                <w:szCs w:val="24"/>
              </w:rPr>
              <w:t>新时代以党的政治建设为统领提升大学生理想信念教育实效性的策略研究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程璐瑶</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jc w:val="left"/>
              <w:rPr>
                <w:rFonts w:hint="eastAsia" w:ascii="黑体" w:hAnsi="黑体" w:eastAsia="黑体" w:cs="Times New Roman"/>
                <w:b/>
                <w:bCs/>
                <w:color w:val="000000"/>
                <w:kern w:val="0"/>
                <w:sz w:val="24"/>
                <w:szCs w:val="24"/>
                <w:lang w:val="en-US" w:eastAsia="zh-CN" w:bidi="ar-SA"/>
              </w:rPr>
            </w:pPr>
            <w:r>
              <w:rPr>
                <w:rFonts w:hint="eastAsia" w:ascii="宋体" w:hAnsi="宋体" w:eastAsia="宋体" w:cs="Times New Roman"/>
                <w:color w:val="000000"/>
                <w:kern w:val="0"/>
                <w:sz w:val="24"/>
                <w:szCs w:val="24"/>
              </w:rPr>
              <w:t>主旋律电影融入中国共产党人精神谱系教育的价值研究——以浙江师范大学为例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姜柯成</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乡村振兴背景下党建引领乡村全域旅游的研究——以浙江省安吉县为例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周彤</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党的二十大精神学习融入高校学生理论宣讲的质效研究——以浙江师范大学“红途望道”理论宣讲团为例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吴怡欣</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党建引领下大学生助力乡村振兴实践路径探究——以浙江师范大学为例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汪芹</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中国式现代化视域下大学生党员角色意识的培育研究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金敏</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红色校史融入大学生党员党性教育的路径研究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蒋雪萍</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校地合作模式下高校基层党建与地方</w:t>
            </w:r>
            <w:r>
              <w:rPr>
                <w:rFonts w:hint="eastAsia" w:ascii="宋体" w:hAnsi="宋体" w:eastAsia="宋体" w:cs="Times New Roman"/>
                <w:color w:val="000000"/>
                <w:kern w:val="0"/>
                <w:sz w:val="24"/>
                <w:szCs w:val="24"/>
                <w:lang w:val="en-US" w:eastAsia="zh-CN"/>
              </w:rPr>
              <w:t>基层</w:t>
            </w:r>
            <w:r>
              <w:rPr>
                <w:rFonts w:hint="eastAsia" w:ascii="宋体" w:hAnsi="宋体" w:eastAsia="宋体" w:cs="Times New Roman"/>
                <w:color w:val="000000"/>
                <w:kern w:val="0"/>
                <w:sz w:val="24"/>
                <w:szCs w:val="24"/>
              </w:rPr>
              <w:t>党建的联动优化路径探索——以浙江师范大学为例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陈亭君</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“党建+”视域下高校暑期社会实践活动提升“第二课堂”育人效果的路径研究——以浙江师范大学为例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刘辰</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数字化改革视域下高校基层服务型党组织建设路径研究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吴雅忻</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自我革命精神融入高校学生党支部建设研究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吴颖怡</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党建+乡贤”模式助力乡村治理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金昕悦</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百年回望与优化策略：新时代中国共产党国际形象的建构研究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应晗希</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“思想建党和制度治党”融进高校大学生党史学习教育的制度化路径——基于浙江师范大学的实证调查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阮晨艺</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双减背景下金华市中小学党建美育主题活动开展现状及实施策略研究——以金华市十一所中小学为例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易静</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中国共产党人精神谱系在大学生党员理想信念教育中的运用研究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应王锞</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解码“大思政课”：高校党建与课程思政协同育人的现状调查及双向互动机制研究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徐海英</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互动仪式链理论视角下研究生党支部凝聚力现状及提升路径研究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刘妍</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红色园丁：文化记忆视角下师范生理想信念培育路径研究——以浙江省山区26县为例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和祯</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践行“二十大精神”：自我革命融入大学生党员教育的现状调查与提升路径研究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袁睿</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红色文化资源长效赋能高校党建的路径研究——以浙江师范大学为例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许艳爽</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政治认同心理机制视角下的高校学生党支部组织力提升研究——以浙江师范大学为例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李哲</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共生理论视域下党支部与学生党员共同体建设路径研究——以浙江师范大学为例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倪晨希</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融媒体时代“学习强国”平台在大学生党史教育中的应用研究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黄可悦</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党课立体化教育模式探析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施懿</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“四史”教育背景下高校微党课“134”模式的优化研究——以浙江师范大学为例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俞雨蝶</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文化自信视域下大学生社会主义核心价值观情感认同现状研究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郑蓉蓉</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rPr>
            </w:pPr>
            <w:r>
              <w:rPr>
                <w:rFonts w:hint="eastAsia" w:ascii="宋体" w:hAnsi="宋体" w:eastAsia="宋体" w:cs="Times New Roman"/>
                <w:color w:val="000000"/>
                <w:kern w:val="0"/>
                <w:sz w:val="24"/>
                <w:szCs w:val="24"/>
              </w:rPr>
              <w:t>新时代红色文化融入高校学生党员教育路径探析——以浙江师范大学为例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曾思颖</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rPr>
            </w:pPr>
            <w:r>
              <w:rPr>
                <w:rFonts w:hint="eastAsia" w:ascii="宋体" w:hAnsi="宋体" w:eastAsia="宋体" w:cs="Times New Roman"/>
                <w:color w:val="000000"/>
                <w:kern w:val="0"/>
                <w:sz w:val="24"/>
                <w:szCs w:val="24"/>
              </w:rPr>
              <w:t>微媒体时代高校党建工作创新路径探析——以浙江师范大学为例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陈高宇</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rPr>
            </w:pPr>
            <w:r>
              <w:rPr>
                <w:rFonts w:hint="eastAsia" w:ascii="宋体" w:hAnsi="宋体" w:eastAsia="宋体" w:cs="Times New Roman"/>
                <w:color w:val="000000"/>
                <w:kern w:val="0"/>
                <w:sz w:val="24"/>
                <w:szCs w:val="24"/>
              </w:rPr>
              <w:t>高校学生党建工作品牌化建设探索——以全国百个研究生样板支部教育技术学硕士党支部为例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bookmarkStart w:id="0" w:name="_GoBack"/>
            <w:bookmarkEnd w:id="0"/>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楼涵</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共同富裕背景下儿童信仰力提升路径研究——以红色动画影片为例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周沪越</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立德树人视域下《幼儿教师伦理学》课程思政实施现状及策略研究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孙齐斌</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黑体" w:hAnsi="黑体" w:eastAsia="黑体" w:cs="Times New Roman"/>
                <w:b/>
                <w:bCs/>
                <w:color w:val="000000"/>
                <w:kern w:val="0"/>
                <w:sz w:val="24"/>
                <w:szCs w:val="24"/>
                <w:lang w:val="en-US" w:eastAsia="zh-CN" w:bidi="ar-SA"/>
              </w:rPr>
            </w:pPr>
            <w:r>
              <w:rPr>
                <w:rFonts w:hint="eastAsia" w:ascii="宋体" w:hAnsi="宋体" w:eastAsia="宋体" w:cs="Times New Roman"/>
                <w:color w:val="000000"/>
                <w:kern w:val="0"/>
                <w:sz w:val="24"/>
                <w:szCs w:val="24"/>
              </w:rPr>
              <w:t>融媒体视域下高校党建工作宣传效果的优化策略研究——以浙江师范大学官网、官微为例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张启悦</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智慧党建引领高校“党建+服务”平台发展的创新型路径探究——以浙江师范大学微心愿平台为例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陈涵琳</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黑体" w:hAnsi="黑体" w:eastAsia="黑体" w:cs="Times New Roman"/>
                <w:b/>
                <w:bCs/>
                <w:color w:val="000000"/>
                <w:kern w:val="0"/>
                <w:sz w:val="24"/>
                <w:szCs w:val="24"/>
                <w:lang w:val="en-US" w:eastAsia="zh-CN" w:bidi="ar-SA"/>
              </w:rPr>
            </w:pPr>
            <w:r>
              <w:rPr>
                <w:rFonts w:hint="eastAsia" w:ascii="宋体" w:hAnsi="宋体" w:eastAsia="宋体" w:cs="Times New Roman"/>
                <w:color w:val="000000"/>
                <w:kern w:val="0"/>
                <w:sz w:val="24"/>
                <w:szCs w:val="24"/>
              </w:rPr>
              <w:t>组织育人视域下高校学生党建共同体构建的创新路径探究——以浙江师范大学为例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李佳乐</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学生党建网格化管理体系的探索和实践——以浙江师范大学人文学院为例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刘涵</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中学党建工作中“党课+”教育模式探析——以广西龙州县Y中学为例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郑子彤</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新时代“立德树人”视域下沉浸式“大思政课”育人机制的探索与实践研究——以浙江师范大学附属中学为例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王紫依</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新时代高校基层党支部推进“党建＋团建”提质增效的路径研究——以浙江师范大学班级党代表制度为例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张予蓓</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lang w:val="en-US" w:eastAsia="zh-CN"/>
              </w:rPr>
              <w:t>高校党群服务综合体建设路径——以浙江师范大学党员之家为例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沈烨华</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党支部联学共建助推组织育人的路径研究——以浙江师范大学外国语学院为例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朱豪杰</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红色寻访助推高校党建带团建模式探索——以Z大学为例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陈佳瑶</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关于高校外语赋能党建特色品牌建设的调查研究——以浙江师范大学外国语学院为例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徐珏</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从红色歌剧中探寻党的革命精神——以延安时期红色经典歌剧为例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刘如昕</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音乐微党课在学生党建工作中的融合研究——以浙江师范大学为例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叶欢欢</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“民情日记”的传承和创新发展研究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沈欣瑜</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以画叙党史，微课进校园——美育视角下兰溪市党史教育基地党史微课程实践研究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潘亚楠</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永不褪色的军魂：退役老兵红色精神融入大学生党性教育的路径探究——基于浙江省一百名退役老兵的实证调查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罗彤</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基于地方红色文化资源融合的大中小党史教育一体化建设——以金华市30所学校为例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冯涛</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高校学生党员参与社会服务的现状及途径研究——以浙江师范大学为例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李佳辉</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数字党建下提升高校学生党支部组织生活质量的研究——以浙江师范大学为例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jc w:val="center"/>
              <w:rPr>
                <w:rFonts w:hint="eastAsia" w:ascii="宋体" w:hAnsi="宋体" w:eastAsia="宋体" w:cs="Times New Roman"/>
                <w:color w:val="000000"/>
                <w:kern w:val="0"/>
                <w:sz w:val="24"/>
                <w:szCs w:val="24"/>
                <w:lang w:val="en-US" w:eastAsia="zh-CN"/>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刘晓阳</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“互联网＋”模式下高校智慧党建的创新发展之路——以浙江师范大学为例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王婧琰</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“党建+”模式下学生党支部主题党日提质增效路径的探索与实践——以浙江师范大学为例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钱雅楠</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融媒体背景下的高校学生党支部组织生活建设路径探索——以浙江师范大学化学与生命科学学院为例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赵诗雨</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新时代高校党群服务中心建设的现状调查及其发展策略研究——以浙江师范大学为例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陈诺</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“基层党建+社会治理”创新模式对共同富裕推动效应的探索研究—以义乌市七一村为例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夏志豪</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研究生党支部共同体建设的实践路径研究——以浙江师范大学工学院为例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潘婷</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高校研究生党支部组织力提升策略研究--以浙师大研究生支部为例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严世强</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海外国际中文教师党员队伍建设路径探究——以浙江师范大学国际文化与教育学院为例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宋舒鸿</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“党建+文旅”模式下红色资源助力乡村振兴路径探究——以金华兰溪为例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泮鑫禹</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新主流红色电影融入高校党史教育的现状分析与路径创新——以浙江师范大学为例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樊昕琪</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“学习强国”在高校学生党建工作的应用创新研究——以浙江师范大学行知学院为例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2" w:hRule="atLeast"/>
          <w:jc w:val="center"/>
        </w:trPr>
        <w:tc>
          <w:tcPr>
            <w:tcW w:w="592" w:type="pct"/>
            <w:tcBorders>
              <w:top w:val="single" w:color="000000" w:sz="8" w:space="0"/>
              <w:left w:val="single" w:color="000000" w:sz="8" w:space="0"/>
              <w:bottom w:val="single" w:color="000000" w:sz="8" w:space="0"/>
              <w:right w:val="single" w:color="000000" w:sz="8" w:space="0"/>
            </w:tcBorders>
            <w:vAlign w:val="center"/>
          </w:tcPr>
          <w:p>
            <w:pPr>
              <w:numPr>
                <w:ilvl w:val="0"/>
                <w:numId w:val="1"/>
              </w:numPr>
              <w:snapToGrid w:val="0"/>
              <w:ind w:left="0" w:leftChars="0" w:firstLine="0" w:firstLineChars="0"/>
              <w:jc w:val="center"/>
              <w:rPr>
                <w:rFonts w:hint="eastAsia" w:ascii="宋体" w:hAnsi="宋体" w:eastAsia="宋体" w:cs="Times New Roman"/>
                <w:color w:val="000000"/>
                <w:kern w:val="0"/>
                <w:sz w:val="24"/>
                <w:szCs w:val="24"/>
                <w:lang w:val="en-US" w:eastAsia="zh-CN" w:bidi="ar-SA"/>
              </w:rPr>
            </w:pPr>
          </w:p>
        </w:tc>
        <w:tc>
          <w:tcPr>
            <w:tcW w:w="812" w:type="pct"/>
            <w:tcBorders>
              <w:top w:val="single" w:color="000000" w:sz="8" w:space="0"/>
              <w:left w:val="single" w:color="000000" w:sz="8" w:space="0"/>
              <w:bottom w:val="single" w:color="000000" w:sz="8" w:space="0"/>
              <w:right w:val="single" w:color="000000" w:sz="8" w:space="0"/>
            </w:tcBorders>
            <w:vAlign w:val="center"/>
          </w:tcPr>
          <w:p>
            <w:pPr>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张黎</w:t>
            </w:r>
          </w:p>
        </w:tc>
        <w:tc>
          <w:tcPr>
            <w:tcW w:w="3595" w:type="pct"/>
            <w:tcBorders>
              <w:top w:val="single" w:color="000000" w:sz="8" w:space="0"/>
              <w:left w:val="single" w:color="000000" w:sz="8" w:space="0"/>
              <w:bottom w:val="single" w:color="000000" w:sz="8" w:space="0"/>
              <w:right w:val="single" w:color="000000" w:sz="8" w:space="0"/>
            </w:tcBorders>
            <w:vAlign w:val="center"/>
          </w:tcPr>
          <w:p>
            <w:pPr>
              <w:snapToGrid w:val="0"/>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szCs w:val="24"/>
              </w:rPr>
              <w:t>党建引领高校智库型人才培养的逻辑策略研究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3A43B6"/>
    <w:multiLevelType w:val="multilevel"/>
    <w:tmpl w:val="133A43B6"/>
    <w:lvl w:ilvl="0" w:tentative="0">
      <w:start w:val="1"/>
      <w:numFmt w:val="decimal"/>
      <w:suff w:val="nothing"/>
      <w:lvlText w:val="%1"/>
      <w:lvlJc w:val="center"/>
      <w:pPr>
        <w:ind w:left="0" w:firstLine="0"/>
      </w:pPr>
      <w:rPr>
        <w:rFonts w:hint="eastAsia"/>
        <w:bCs/>
      </w:rPr>
    </w:lvl>
    <w:lvl w:ilvl="1" w:tentative="0">
      <w:start w:val="1"/>
      <w:numFmt w:val="lowerLetter"/>
      <w:lvlText w:val="%2)"/>
      <w:lvlJc w:val="left"/>
      <w:pPr>
        <w:ind w:left="840" w:hanging="420"/>
      </w:pPr>
      <w:rPr>
        <w:rFonts w:hint="default" w:ascii="宋体" w:hAnsi="宋体" w:eastAsia="宋体"/>
        <w:bCs/>
      </w:rPr>
    </w:lvl>
    <w:lvl w:ilvl="2" w:tentative="0">
      <w:start w:val="1"/>
      <w:numFmt w:val="lowerRoman"/>
      <w:lvlText w:val="%3."/>
      <w:lvlJc w:val="left"/>
      <w:pPr>
        <w:ind w:left="1260" w:hanging="420"/>
      </w:pPr>
      <w:rPr>
        <w:rFonts w:hint="default" w:ascii="宋体" w:hAnsi="宋体" w:eastAsia="宋体"/>
        <w:bCs/>
      </w:rPr>
    </w:lvl>
    <w:lvl w:ilvl="3" w:tentative="0">
      <w:start w:val="1"/>
      <w:numFmt w:val="decimal"/>
      <w:lvlText w:val="%4."/>
      <w:lvlJc w:val="left"/>
      <w:pPr>
        <w:ind w:left="1680" w:hanging="420"/>
      </w:pPr>
      <w:rPr>
        <w:rFonts w:hint="default" w:ascii="宋体" w:hAnsi="宋体" w:eastAsia="宋体"/>
        <w:bCs/>
      </w:rPr>
    </w:lvl>
    <w:lvl w:ilvl="4" w:tentative="0">
      <w:start w:val="1"/>
      <w:numFmt w:val="lowerLetter"/>
      <w:lvlText w:val="%5)"/>
      <w:lvlJc w:val="left"/>
      <w:pPr>
        <w:ind w:left="2100" w:hanging="420"/>
      </w:pPr>
      <w:rPr>
        <w:rFonts w:hint="default" w:ascii="宋体" w:hAnsi="宋体" w:eastAsia="宋体"/>
        <w:bCs/>
      </w:rPr>
    </w:lvl>
    <w:lvl w:ilvl="5" w:tentative="0">
      <w:start w:val="1"/>
      <w:numFmt w:val="lowerRoman"/>
      <w:lvlText w:val="%6."/>
      <w:lvlJc w:val="left"/>
      <w:pPr>
        <w:ind w:left="2520" w:hanging="420"/>
      </w:pPr>
      <w:rPr>
        <w:rFonts w:hint="default" w:ascii="宋体" w:hAnsi="宋体" w:eastAsia="宋体"/>
        <w:bCs/>
      </w:rPr>
    </w:lvl>
    <w:lvl w:ilvl="6" w:tentative="0">
      <w:start w:val="1"/>
      <w:numFmt w:val="decimal"/>
      <w:lvlText w:val="%7."/>
      <w:lvlJc w:val="left"/>
      <w:pPr>
        <w:ind w:left="2940" w:hanging="420"/>
      </w:pPr>
      <w:rPr>
        <w:rFonts w:hint="default" w:ascii="宋体" w:hAnsi="宋体" w:eastAsia="宋体"/>
        <w:bCs/>
      </w:rPr>
    </w:lvl>
    <w:lvl w:ilvl="7" w:tentative="0">
      <w:start w:val="1"/>
      <w:numFmt w:val="lowerLetter"/>
      <w:lvlText w:val="%8)"/>
      <w:lvlJc w:val="left"/>
      <w:pPr>
        <w:ind w:left="3360" w:hanging="420"/>
      </w:pPr>
      <w:rPr>
        <w:rFonts w:hint="default" w:ascii="宋体" w:hAnsi="宋体" w:eastAsia="宋体"/>
        <w:bCs/>
      </w:rPr>
    </w:lvl>
    <w:lvl w:ilvl="8" w:tentative="0">
      <w:start w:val="1"/>
      <w:numFmt w:val="lowerRoman"/>
      <w:lvlText w:val="%9."/>
      <w:lvlJc w:val="left"/>
      <w:pPr>
        <w:ind w:left="3780" w:hanging="420"/>
      </w:pPr>
      <w:rPr>
        <w:rFonts w:hint="default" w:ascii="宋体" w:hAnsi="宋体" w:eastAsia="宋体"/>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10AB1F79"/>
    <w:rsid w:val="083835CA"/>
    <w:rsid w:val="084E1058"/>
    <w:rsid w:val="10AB1F79"/>
    <w:rsid w:val="1D4C6EA4"/>
    <w:rsid w:val="32B37F4F"/>
    <w:rsid w:val="519E79FC"/>
    <w:rsid w:val="77CC339C"/>
    <w:rsid w:val="79AE0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2023-04-04T14:20:00Z</dcterms:created>
  <dc:creator>bbright_</dc:creator>
  <cp:lastModifiedBy>陈诺</cp:lastModifiedBy>
  <dcterms:modified xsi:type="dcterms:W3CDTF">2023-04-06T13:20:42Z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9486B36DF3534B75B7F5747F96C41ED5_13</vt:lpwstr>
  </property>
</Properties>
</file>